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101</w:t>
      </w:r>
    </w:p>
    <w:p>
      <w:r>
        <w:t>Bundesgericht (BGE), 1977-06-06, FR</w:t>
      </w:r>
    </w:p>
    <w:p>
      <w:r>
        <w:rPr>
          <w:b/>
        </w:rPr>
        <w:t xml:space="preserve">Quelle: </w:t>
      </w:r>
      <w:r>
        <w:t>https://mcp.opencaselaw.ch/entscheid/bge_103 IV 101</w:t>
      </w:r>
    </w:p>
    <w:p>
      <w:r>
        <w:t>FR: ATF 103 IV 101</w:t>
      </w:r>
    </w:p>
    <w:p>
      <w:r>
        <w:t>IT: DTF 103 IV 101</w:t>
      </w:r>
    </w:p>
    <w:p>
      <w:pPr>
        <w:pStyle w:val="Heading2"/>
      </w:pPr>
      <w:r>
        <w:t>Regeste</w:t>
      </w:r>
    </w:p>
    <w:p>
      <w:r>
        <w:t>Regeste Art. 31 Abs. 1 SVG, 3 Abs. 1 VRV. Der vom Führer zu verlangende Grad an Aufmerksamkeit beurteilt sich anhand sämtlicher Umstände. Wenn er sein Augenmerk im wesentlichen auf bestimmte Stellen zu richten hat, kann ihm für andere eine geringere Aufmerksamkeit zugebilligt werden (Erw. 2 b und c).</w:t>
      </w:r>
    </w:p>
    <w:p>
      <w:pPr>
        <w:pStyle w:val="Heading2"/>
      </w:pPr>
      <w:r>
        <w:t>Erwägungen</w:t>
      </w:r>
    </w:p>
    <w:p>
      <w:r>
        <w:rPr>
          <w:b/>
        </w:rPr>
        <w:t>E. 1</w:t>
      </w:r>
    </w:p>
    <w:p>
      <w:r>
        <w:t>a) Il ressort des constatations du tribunal de première instance, reprises par la Cour cantonale, que le cyclomotoriste était visible à la condition que l'on portât une extrême attention dans la direction d'où il venait. Ces constatations ont été faites lors d'une reconstitution nocturne, à propos de laquelle il est relevé que, lors de l'expérience, le tribunal savait que le cyclomotoriste arrivait et qu'il le cherchait des yeux, sans se soucier ni de ce qui se passait sur la droite de la route, ni des feux. Bien que la victime fût difficilement visible, les instances précédentes ont retenu à la charge du recourant une inattention fautive, constitutive de la négligence entraînant l'application de l' art. 117 CP . La Cour cantonale a considéré que la distance totale d'arrêt nécessaire à l'automobiliste était de 40 m environ, qui avaient dû être parcourus en 2 secondes et demie. Comme, 2 secondes et demie avant le choc, la victime avait quitté la voie descendante et se trouvait déjà sur la voie montante de gauche et comme elle avait d'autant plus de chances d'être aperçue qu'elle se rapprochait à la fois du milieu de la route et de l'automobile, l'autorité cantonale a estimé que, dès le moment où le cyclomotoriste avait franchi la ligne séparant la voie descendante des deux voies montantes, le recourant aurait dû le voir, prendre conscience du caractère aberrant de sa manoeuvre et réagir promptement. Constatant alors que l'automobiliste n'avait eu aucune réaction quelconque, elle a considéré que la seule explication de cette passivité était une inattention fautive. Elle a estimé de surcroît que, sur une route éclairée, le cyclomotoriste était certainement visible alors qu'il traversait la piste montante, une cinquantaine de mètres en avant de la voiture (en oblique, il est vrai), et que même si le recourant ne l'avait aperçu qu'à 30 m, il aurait pu ralentir suffisamment pour réduire sensiblement les conséquences de la collision. Cela étant, compte tenu du temps dont il disposait et de son absence de réaction non seulement avant, mais encore après le choc, elle a retenu que l'automobiliste n'avait pas fait preuve de l'attention requise. b) Le recourant conteste toute faute. Pour lui, son devoir d'attention portait en premier lieu sur les feux qui étaient au BGE 103 IV 101 S. 104 vert pour lui et qui pouvaient devenir orange, puis sur la voie ascendante droite de la chaussée qu'il empruntait, sur le trottoir situé à sa droite d'où pouvait surgir un piéton et enfin, évidemment, sur le passage pour piétons. Il invoque aussi le principe de la confiance et fait valoir qu'il n'avait aucune raison de s'attendre à un comportement aussi aberrant que celui du cyclomotoriste.</w:t>
      </w:r>
    </w:p>
    <w:p>
      <w:r>
        <w:rPr>
          <w:b/>
        </w:rPr>
        <w:t>E. 2</w:t>
      </w:r>
    </w:p>
    <w:p>
      <w:r>
        <w:t>a) Un conducteur prioritaire, comme l'était indiscutablement le recourant en l'espèce, doit, en vertu de la règle fondamentale prescrite à l' art. 26 LCR et, plus précisément, en vertu de l'al. 2 de cette disposition, faire montre d'une prudence particulière s'il lui apparaît qu'un usager de la route va se comporter de manière incorrecte. Pour être en mesure de satisfaire à cette obligation, il doit être constamment maître de son véhicule et vouer à la route ainsi qu'à la circulation toute l'attention nécessaire (cf. art. 3 al. 1 OCR , 31 al. 1 LCR). Comme, en l'espèce, le recourant n'a vu le cyclomotoriste qu'au dernier moment, c'est-à-dire trop tard pour éviter l'accident, la seule question qui doit être résolue est celle de savoir si, pour ne pas l'avoir vu plus tôt, il s'est rendu coupable d'une inattention fautive. b) En principe, l'obligation imposée au conducteur de vouer son attention à la route et à la circulation implique qu'il embrasse du regard toute la chaussée et non pas seulement ce qui se passe directement devant lui sur l'espace de route correspondant à la largeur de sa voiture (cf. BUSSY ET RUSCONI, CSCR, n. 2.5 a ad art. 31 LCR ). La jurisprudence a cependant atténué ce principe dans certaines hypothèses, en particulier dans le cas d'îlots divisant la chaussée en deux voies distinctes. Ainsi a-t-elle posé qu'à tout le moins lorsque ces îlots sont larges, on ne saurait raisonnablement exiger des automobilistes qu'ils portent leur attention sur l'autre voie que celle qu'ils vont emprunter ( ATF 101 IV 220 ); elle a également réservé la possibilité d'appliquer la même exception dans l'éventualité de voies particulièrement larges (arrêt non publié Ricciardella, du 1er juin 1976).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BGE 103 IV 101 S. 105 c) En l'espèce, le Tribunal correctionnel a relevé que l'attention du recourant était avant tout attirée par les feux qui étaient au vert pour lui, et il a considéré très justement que le recourant devait en outre surveiller non seulement la partie montante de la chaussée qu'il occupait et ce qui pouvait se passer sur le trottoir situé à sa droite, mais aussi le passage pour piétons. C'est en effet sur ces éléments que le recourant devait porter l'essentiel de son attention. Sans négliger la voie de circulation montante parallèle à celle qu'il occupait, il pouvait cependant lui vouer une attention moins grande. Cette attention moins grande doit permettre de percevoir les obstacles ou les événements normalement visibles, mais on ne saurait aller jusqu'à exiger qu'elle atteigne un degré tel qu'elle permette de déceler ce qui n'est visible que difficilement. En l'espèce, même si les chances d'apercevoir le cyclomotoriste étaient de plus en plus grandes à mesure que celui-ci se rapprochait, il reste que, selon les constatations de l'autorité cantonale, ce cyclomotoriste était difficilement visible, c'est-à-dire visible pour autant qu'on portât une extrême attention dans la direction d'où il venait. Or, compte tenu de l'attention qu'il fallait consacrer à la voie de circulation parcourue, aux feux, au trottoir de droite et au passage pour piétons, on ne saurait raisonnablement fonder sur la loi l'obligation de surveiller en outre avec une extrême attention le reste de la chaussée. Ce n'est qu'à partir du moment où le cyclomotoriste a pénétré sur la voie de circulation empruntée par le recourant que l'on pouvait exiger de ce dernier l'extrême attention lui permettant de voir l'obstacle. Il ne disposait plus alors du temps nécessaire pour être en état de réagir efficacement. L'absence de réaction à ce moment ne se trouve dès lors pas en relation de causalité adéquate avec l'accident. Quant à la passivité du recourant après le choc, à supposer - ce dont on peut douter - qu'elle présente un telle relation avec le décès de la victime, elle n'est pas fautive. On peut à cet égard adopter le point de vue du Tribunal correctionnel selon lequel l'éclatement du pare-brise et la présence du corps de la victime qui se trouvait en partie sur le toit étaient de nature à provoquer quelques secondes de stupeur. En conclusion, comme on doit constater qu'en déployant l'attention commandée par les circonstances de l'espèce, le recourant ne pouvait remarquer ni le cyclomotoriste ni sa manoeuvre aberrante à une distance lui permettant d'entreprendre BGE 103 IV 101 S. 106 une manoeuvre efficace, aucune faute ne peut être retenue à sa charge. Le pourvoi doit donc être admis et la cause renvoyée à l'autorité cantonale pour qu'elle libère le recourant de l'accusation d'homicide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